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03AF2B8D" w:rsidR="004364AC" w:rsidRPr="004364AC" w:rsidRDefault="004364AC" w:rsidP="00ED06A6">
      <w:r w:rsidRPr="004364AC">
        <w:rPr>
          <w:cs/>
        </w:rPr>
        <w:t>ชื่อหน่วยงาน</w:t>
      </w:r>
      <w:r w:rsidR="002E5A7F" w:rsidRPr="002E5A7F">
        <w:rPr>
          <w:cs/>
        </w:rPr>
        <w:t>คณะเทคโนโลยีการเกษตร</w:t>
      </w:r>
    </w:p>
    <w:p w14:paraId="6C2D10F6" w14:textId="3E5D5901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2E5A7F">
        <w:t>1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2F317576" w:rsidR="009151A4" w:rsidRPr="004364AC" w:rsidRDefault="004364AC" w:rsidP="00ED06A6">
      <w:r w:rsidRPr="004364AC">
        <w:rPr>
          <w:cs/>
        </w:rPr>
        <w:t>วันที่</w:t>
      </w:r>
      <w:r w:rsidR="002E5A7F">
        <w:t xml:space="preserve"> </w:t>
      </w:r>
      <w:r w:rsidR="002E5A7F" w:rsidRPr="002E5A7F">
        <w:t xml:space="preserve">1 </w:t>
      </w:r>
      <w:r w:rsidR="002E5A7F" w:rsidRPr="002E5A7F">
        <w:rPr>
          <w:cs/>
        </w:rPr>
        <w:t xml:space="preserve">ตุลาคม </w:t>
      </w:r>
      <w:r w:rsidR="002E5A7F">
        <w:t>2563</w:t>
      </w:r>
      <w:r w:rsidR="002E5A7F" w:rsidRPr="002E5A7F">
        <w:t xml:space="preserve"> </w:t>
      </w:r>
      <w:r w:rsidR="002E5A7F" w:rsidRPr="002E5A7F">
        <w:rPr>
          <w:cs/>
        </w:rPr>
        <w:t xml:space="preserve">ถึง </w:t>
      </w:r>
      <w:r w:rsidR="002E5A7F" w:rsidRPr="002E5A7F">
        <w:t xml:space="preserve">31 </w:t>
      </w:r>
      <w:r w:rsidR="002E5A7F" w:rsidRPr="002E5A7F">
        <w:rPr>
          <w:cs/>
        </w:rPr>
        <w:t xml:space="preserve">ธันวาคม </w:t>
      </w:r>
      <w:r w:rsidR="002E5A7F">
        <w:t>2564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B981D53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</w:t>
            </w:r>
            <w:r w:rsidR="00255679">
              <w:rPr>
                <w:rFonts w:hint="cs"/>
                <w:sz w:val="32"/>
                <w:szCs w:val="32"/>
                <w:cs/>
              </w:rPr>
              <w:t>1</w:t>
            </w:r>
            <w:r>
              <w:rPr>
                <w:sz w:val="32"/>
                <w:szCs w:val="32"/>
              </w:rPr>
              <w:t>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389A8481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25567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NA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23DBEF65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4B67226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041543DE" w14:textId="0118881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ED96142" w14:textId="531FAC0E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4E9EBFC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69F5F1F" w14:textId="5C26993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10F4FC" w14:textId="252A205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3B2FF5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7A2AC3E" w14:textId="1ADC21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6B692A6" w14:textId="4FD0DDDC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39E1A9A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B18B11A" w14:textId="2CD2837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D4EE33A" w14:textId="09F5914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2135D44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1248EF5" w14:textId="5F53CE0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628D21BF" w14:textId="230A5B0D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291E015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2478B7F4" w14:textId="406C62BA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635C556" w14:textId="2D12AC6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F25192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7B003BD0" w14:textId="3B69397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039D03" w14:textId="191450B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4D42C4C2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E3011FD" w14:textId="698C9D5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52EDB05" w14:textId="4ECEAB4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15832D5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04502DE8" w14:textId="2E6AE09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527D5D23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497893F8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...................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4364AC" w:rsidRDefault="0035409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3A2ACAD4" w:rsidR="007015D1" w:rsidRPr="009837B9" w:rsidRDefault="00255679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25567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NA</w:t>
            </w:r>
            <w:r w:rsidR="007015D1" w:rsidRPr="0025567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7F5DBCD0" w:rsidR="007015D1" w:rsidRPr="009837B9" w:rsidRDefault="00255679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25567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NA</w:t>
            </w:r>
            <w:r w:rsidR="007015D1" w:rsidRPr="0025567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1058D1CD" w:rsidR="007015D1" w:rsidRPr="004364AC" w:rsidRDefault="0035409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="007015D1"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3B4CB84D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C56AF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…</w:t>
            </w:r>
            <w:r w:rsidR="00C56AF6" w:rsidRPr="00C56AF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NA</w:t>
            </w:r>
            <w:r w:rsidRPr="00C56AF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6BF7873C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</w:t>
            </w:r>
            <w:r w:rsid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54091" w:rsidRPr="009837B9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7777777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200</w:t>
            </w:r>
          </w:p>
          <w:p w14:paraId="04BDB9C7" w14:textId="4EC5E66F" w:rsidR="00354091" w:rsidRPr="00354091" w:rsidRDefault="00354091" w:rsidP="0035409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4A217C7C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="00255679"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  <w:r w:rsidRPr="00354091">
              <w:rPr>
                <w:rFonts w:eastAsia="TH SarabunPSK"/>
                <w:b w:val="0"/>
                <w:bCs w:val="0"/>
                <w:sz w:val="28"/>
                <w:szCs w:val="28"/>
              </w:rPr>
              <w:t>……</w:t>
            </w:r>
          </w:p>
          <w:p w14:paraId="7D8CC76E" w14:textId="66FE5549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จำนวน......คน</w:t>
            </w:r>
          </w:p>
          <w:p w14:paraId="524889A6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เข้ารับ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ว/ด/ป.......................สถานที่.........</w:t>
            </w:r>
          </w:p>
          <w:p w14:paraId="051AE6C7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BAAF2F3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CCBB362" w14:textId="31EC4BE4" w:rsidR="00A6178E" w:rsidRPr="00C17AF4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6E20E4B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13D204F7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25567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…</w:t>
            </w:r>
            <w:r w:rsidR="00255679" w:rsidRPr="0025567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NA</w:t>
            </w:r>
            <w:r w:rsidRPr="0025567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74D44830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25567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…</w:t>
            </w:r>
            <w:r w:rsidR="00255679" w:rsidRPr="0025567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NA</w:t>
            </w:r>
            <w:r w:rsidRPr="0025567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354091" w:rsidRPr="009837B9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354091" w:rsidRPr="00354091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BB53A64" w14:textId="394CC427" w:rsidR="00354091" w:rsidRPr="004364AC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28DCA6C" w14:textId="0EE243C4" w:rsidR="00354091" w:rsidRPr="004364AC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="0025567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581D2A" w:rsidRPr="009E4000" w:rsidRDefault="00581D2A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จำนวนนักศึกษาทุกชั้นปีจำนวน..........คน เข้า</w:t>
            </w:r>
            <w:r w:rsidRPr="00581D2A">
              <w:rPr>
                <w:b w:val="0"/>
                <w:bCs w:val="0"/>
                <w:sz w:val="28"/>
                <w:szCs w:val="28"/>
                <w:cs/>
              </w:rPr>
              <w:t>รับการอบรมภาษาจีน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จำนวน........คน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354091" w:rsidRPr="009E4000" w:rsidRDefault="00354091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40584C19" w:rsidR="004364AC" w:rsidRDefault="0035409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30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194E601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25567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59321C98" w:rsidR="004364AC" w:rsidRDefault="007B3A77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  <w:r w:rsidR="004364AC"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6EC91A6F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25567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567248F3" w:rsidR="007015D1" w:rsidRPr="004364AC" w:rsidRDefault="007B3A77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34080A7D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25567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E125E5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.6.1.1 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58E92FF1" w14:textId="565999EA" w:rsidR="00E125E5" w:rsidRPr="00E125E5" w:rsidRDefault="007B3A77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C0706E2" w14:textId="3387221F" w:rsidR="00E125E5" w:rsidRDefault="00E125E5" w:rsidP="00E125E5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25567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04E102E7" w14:textId="72AC0797" w:rsidR="00E125E5" w:rsidRPr="009837B9" w:rsidRDefault="00E125E5" w:rsidP="00E125E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E125E5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E125E5" w:rsidRPr="00E125E5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6CB246F" w14:textId="0657ACA5" w:rsidR="00E125E5" w:rsidRP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A419F13" w14:textId="77777777" w:rsidR="00E125E5" w:rsidRPr="00E125E5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40EDCE3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5AC2942C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2C70F5C8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2807331" w14:textId="75BB45C8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  <w:tr w:rsidR="00E125E5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581D2A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1D1DAD1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0E385BA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31FFE04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1D60A0B8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1F026E57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DDD8596" w14:textId="3B4FBBA0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16705528" w14:textId="68714966" w:rsidR="00B0457E" w:rsidRDefault="00B0457E" w:rsidP="00ED06A6">
      <w:pPr>
        <w:jc w:val="left"/>
        <w:rPr>
          <w:sz w:val="28"/>
          <w:szCs w:val="28"/>
        </w:rPr>
      </w:pPr>
    </w:p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กระบวนการจัดการเรียนรู้ที่มีผู้เรียนสามารถบูรณาการองค์ความรู้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4A9CA83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7643A12A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 วงศ์กิจรุ่งเรือง และ อธิป จิตตฤกษ์</w:t>
      </w:r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BA10DE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46C8323B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55D6DAF1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6ADF56C0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1D4D14AD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777777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50EEDA33" w:rsidR="00301086" w:rsidRPr="00301086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63C5123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7B3A7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2,957,000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6AD4D948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="006732B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2,957,000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3D53A9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3AD77E02" w:rsidR="00301086" w:rsidRPr="00301086" w:rsidRDefault="006732B8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2818EB6A" w:rsidR="00301086" w:rsidRPr="00301086" w:rsidRDefault="006732B8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2,957,000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6BF89776" w:rsidR="00301086" w:rsidRPr="006732B8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Pr="006732B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 ชื่อโครงการวิจัย</w:t>
            </w:r>
            <w:r w:rsidR="006732B8" w:rsidRPr="006732B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การปลูกทดสอบพันธุ์ลิเซียนทัสเพื่อการผลิตไม้ดอกกระถางและไม้ตัดดอกให้เหมาะสมกับตลาดและการผลิตในประเทศไทย</w:t>
            </w:r>
            <w:r w:rsidRPr="006732B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งบประมาณจาก</w:t>
            </w:r>
            <w:r w:rsidR="006732B8" w:rsidRPr="006732B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สำนักงานวิจัยแห่งชาติ (วช.)</w:t>
            </w:r>
            <w:r w:rsidR="006732B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6732B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</w:t>
            </w:r>
            <w:r w:rsidR="006732B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2,957,000 </w:t>
            </w:r>
            <w:r w:rsidRPr="006732B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1"/>
      <w:tr w:rsidR="00E125E5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10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4A46252B" w:rsidR="00E125E5" w:rsidRPr="00FF0EC8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</w:t>
            </w:r>
            <w:r w:rsidR="006732B8">
              <w:rPr>
                <w:rFonts w:eastAsia="TH SarabunPSK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-</w:t>
            </w:r>
            <w:r w:rsidRPr="00FF0EC8">
              <w:rPr>
                <w:rFonts w:eastAsia="TH SarabunPSK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...</w:t>
            </w:r>
          </w:p>
          <w:p w14:paraId="74147A78" w14:textId="32CA8094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16AADFA6" w:rsid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p w14:paraId="76ADC483" w14:textId="4169D2F8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62110710" w:rsidR="001E082F" w:rsidRPr="00C56AF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26FFF675" w:rsidR="001E082F" w:rsidRPr="00C56AF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FF000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CB3993F" w14:textId="010ADF5B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02733A62" w:rsidR="001E082F" w:rsidRPr="00FF0EC8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5553B4FE" w:rsidR="001E082F" w:rsidRPr="00FF0EC8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1E082F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92754E4" w14:textId="14F07677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D82" w14:textId="4A19503F" w:rsidR="00E125E5" w:rsidRPr="00E125E5" w:rsidRDefault="00C56AF6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77777777" w:rsidR="001E082F" w:rsidRDefault="00AB49EE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</w:t>
            </w:r>
            <w:r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จำนวน............คน</w:t>
            </w:r>
          </w:p>
          <w:p w14:paraId="17F66031" w14:textId="061EEB48" w:rsidR="00E125E5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1E082F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1CC9318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6D7EA85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77777777" w:rsidR="001E082F" w:rsidRPr="00301086" w:rsidRDefault="001E082F" w:rsidP="001E082F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2965CB37" w14:textId="4131C97C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4A1452E0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D6363F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6E8E6DFD" w14:textId="067FE17A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58C2E5CF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1FC4BFA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25E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B68ED43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</w:t>
            </w:r>
            <w:r w:rsidR="005E4E6A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165AFDF5" w14:textId="0C97B734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22CE8C9F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6732B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 ชื่อการประชุม</w:t>
            </w:r>
            <w:r w:rsidR="005E4E6A" w:rsidRPr="006732B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วิชาการ</w:t>
            </w:r>
            <w:r w:rsidRPr="006732B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ระดับชาติ</w:t>
            </w:r>
            <w:r w:rsidR="005E4E6A" w:rsidRPr="006732B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วิทยาศาสตร์และเทคโนโลยีระหว่างสถาบัน ครั้งที่ 8 </w:t>
            </w:r>
            <w:r w:rsidRPr="006732B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ร่วมกับเครือข่าย</w:t>
            </w:r>
            <w:r w:rsidR="005E4E6A" w:rsidRPr="006732B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วิทยาศาสตร์และเทคโนโลยีระหว่างสถาบัน </w:t>
            </w:r>
            <w:r w:rsidRPr="006732B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วันเดือนปีที่จัด</w:t>
            </w:r>
            <w:r w:rsidR="005E4E6A" w:rsidRPr="006732B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26 มีนาคม </w:t>
            </w:r>
            <w:r w:rsidRPr="006732B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สถานที่</w:t>
            </w:r>
            <w:r w:rsidR="005E4E6A" w:rsidRPr="006732B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มหาวิทยาลัยราชภัฏวไลยอลงกรณ์ในพระบรมราชูปถัมภ์ จ.ปทุมธานี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E125E5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563BEB74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="00E842E7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8B8E830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(ครุศาสตร์/รร.สาธิต)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E125E5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E125E5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E125E5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E125E5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53C4973B" w:rsidR="00893C97" w:rsidRDefault="00893C97" w:rsidP="00ED06A6">
      <w:pPr>
        <w:jc w:val="left"/>
        <w:rPr>
          <w:sz w:val="28"/>
          <w:szCs w:val="28"/>
        </w:rPr>
      </w:pPr>
    </w:p>
    <w:p w14:paraId="37EAA753" w14:textId="4021DC6A" w:rsidR="00E842E7" w:rsidRDefault="00E842E7" w:rsidP="00ED06A6">
      <w:pPr>
        <w:jc w:val="left"/>
        <w:rPr>
          <w:sz w:val="28"/>
          <w:szCs w:val="28"/>
        </w:rPr>
      </w:pPr>
    </w:p>
    <w:p w14:paraId="6E11B05D" w14:textId="37A7C22B" w:rsidR="00E842E7" w:rsidRDefault="00E842E7" w:rsidP="00ED06A6">
      <w:pPr>
        <w:jc w:val="left"/>
        <w:rPr>
          <w:sz w:val="28"/>
          <w:szCs w:val="28"/>
        </w:rPr>
      </w:pPr>
    </w:p>
    <w:p w14:paraId="39D0B221" w14:textId="77777777" w:rsidR="00E842E7" w:rsidRDefault="00E842E7" w:rsidP="00ED06A6">
      <w:pPr>
        <w:jc w:val="left"/>
        <w:rPr>
          <w:sz w:val="28"/>
          <w:szCs w:val="28"/>
        </w:rPr>
      </w:pPr>
    </w:p>
    <w:p w14:paraId="3A1C8E88" w14:textId="77777777" w:rsidR="00053925" w:rsidRDefault="00053925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C121C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EC121C" w:rsidRPr="002152F7" w:rsidRDefault="00EC121C" w:rsidP="00EC121C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EC121C" w:rsidRPr="002152F7" w:rsidRDefault="00EC121C" w:rsidP="00EC121C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EC121C" w:rsidRPr="002152F7" w:rsidRDefault="00EC121C" w:rsidP="00EC121C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EC121C" w:rsidRPr="002152F7" w:rsidRDefault="00EC121C" w:rsidP="00EC121C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EC121C" w:rsidRPr="002152F7" w:rsidRDefault="00EC121C" w:rsidP="00EC121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74B9" w14:textId="77777777" w:rsidR="00EC121C" w:rsidRPr="00E761AE" w:rsidRDefault="00EC121C" w:rsidP="00EC121C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761AE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37</w:t>
            </w:r>
          </w:p>
          <w:p w14:paraId="7F57B53F" w14:textId="77777777" w:rsidR="00EC121C" w:rsidRPr="002152F7" w:rsidRDefault="00EC121C" w:rsidP="00EC121C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EC121C" w:rsidRPr="002152F7" w:rsidRDefault="00EC121C" w:rsidP="00EC121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3413" w14:textId="77777777" w:rsidR="00EC121C" w:rsidRPr="001447F9" w:rsidRDefault="00EC121C" w:rsidP="00EC121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1447F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37</w:t>
            </w:r>
            <w:r w:rsidRPr="001447F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 หมู่บ้าน </w:t>
            </w: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พื้นที่เป้าหมาย  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2</w:t>
            </w: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พื้นที่  ดังนี้ </w:t>
            </w:r>
          </w:p>
          <w:p w14:paraId="79A769B5" w14:textId="77777777" w:rsidR="00EC121C" w:rsidRPr="001447F9" w:rsidRDefault="00EC121C" w:rsidP="00EC121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จังหวัดปทุมธานี จำนวน 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9 </w:t>
            </w: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หมู่บ้าน</w:t>
            </w:r>
            <w:r w:rsidRPr="001447F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1447F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มีฐานข้อมูลตำบลในการคัดเลือกชุมชนสำคัญเพื่อใช้ในการพัฒนาท้องถิ่น </w:t>
            </w: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 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9</w:t>
            </w: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หมู่บ้าน</w:t>
            </w:r>
            <w:r w:rsidRPr="001447F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</w:t>
            </w:r>
          </w:p>
          <w:p w14:paraId="268F366C" w14:textId="77777777" w:rsidR="00EC121C" w:rsidRPr="001447F9" w:rsidRDefault="00EC121C" w:rsidP="00EC121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จังหวัดสระแก้ว จำนวน 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28</w:t>
            </w: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หมู่บ้าน</w:t>
            </w:r>
            <w:r w:rsidRPr="001447F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1447F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มีฐานข้อมูลตำบลในการคัดเลือกชุมชนสำคัญเพื่อใช้ในการพัฒนาท้องถิ่น </w:t>
            </w: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 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28 </w:t>
            </w: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หมู่บ้าน</w:t>
            </w:r>
            <w:r w:rsidRPr="001447F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</w:t>
            </w:r>
          </w:p>
          <w:p w14:paraId="5F2795D7" w14:textId="77777777" w:rsidR="00EC121C" w:rsidRPr="001447F9" w:rsidRDefault="00EC121C" w:rsidP="00EC121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EC121C" w:rsidRPr="001447F9" w14:paraId="034ADB58" w14:textId="77777777" w:rsidTr="0008270E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CAC3353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447F9">
                    <w:rPr>
                      <w:rFonts w:hint="cs"/>
                      <w:color w:val="FF0000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45399EF0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  <w:r w:rsidRPr="001447F9">
                    <w:rPr>
                      <w:rFonts w:hint="cs"/>
                      <w:color w:val="FF0000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1447F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E934856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447F9">
                    <w:rPr>
                      <w:rFonts w:hint="cs"/>
                      <w:color w:val="FF0000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EC121C" w:rsidRPr="001447F9" w14:paraId="5436D8EE" w14:textId="77777777" w:rsidTr="0008270E">
              <w:trPr>
                <w:trHeight w:val="70"/>
              </w:trPr>
              <w:tc>
                <w:tcPr>
                  <w:tcW w:w="3182" w:type="dxa"/>
                  <w:vMerge/>
                </w:tcPr>
                <w:p w14:paraId="69CD791C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AC2595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  <w:r w:rsidRPr="001447F9">
                    <w:rPr>
                      <w:rFonts w:hint="cs"/>
                      <w:color w:val="FF000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092A79A8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447F9">
                    <w:rPr>
                      <w:rFonts w:hint="cs"/>
                      <w:color w:val="FF000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3D89E22C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447F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6DB6780A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447F9">
                    <w:rPr>
                      <w:rFonts w:hint="cs"/>
                      <w:color w:val="FF000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0C281178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447F9">
                    <w:rPr>
                      <w:rFonts w:hint="cs"/>
                      <w:color w:val="FF000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7832E98E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447F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EC121C" w:rsidRPr="001447F9" w14:paraId="6C7CCBF5" w14:textId="77777777" w:rsidTr="0008270E">
              <w:trPr>
                <w:trHeight w:val="70"/>
              </w:trPr>
              <w:tc>
                <w:tcPr>
                  <w:tcW w:w="3182" w:type="dxa"/>
                </w:tcPr>
                <w:p w14:paraId="572D157A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447F9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779DBC30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9497997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12CA9550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00CED07E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212E9E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290629C2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C121C" w:rsidRPr="001447F9" w14:paraId="77FCB20D" w14:textId="77777777" w:rsidTr="0008270E">
              <w:trPr>
                <w:trHeight w:val="248"/>
              </w:trPr>
              <w:tc>
                <w:tcPr>
                  <w:tcW w:w="3182" w:type="dxa"/>
                </w:tcPr>
                <w:p w14:paraId="0AA95B59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447F9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1E221F67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1E1B837E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09040C8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912017C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2CFE12B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BFDF069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C121C" w:rsidRPr="001447F9" w14:paraId="332521B0" w14:textId="77777777" w:rsidTr="0008270E">
              <w:trPr>
                <w:trHeight w:val="337"/>
              </w:trPr>
              <w:tc>
                <w:tcPr>
                  <w:tcW w:w="3182" w:type="dxa"/>
                </w:tcPr>
                <w:p w14:paraId="3447889F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447F9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375104D1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A32A396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3BA8D48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66CACA30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CBB74C6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0E7B8189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C121C" w:rsidRPr="001447F9" w14:paraId="7EB5F54E" w14:textId="77777777" w:rsidTr="0008270E">
              <w:trPr>
                <w:trHeight w:val="271"/>
              </w:trPr>
              <w:tc>
                <w:tcPr>
                  <w:tcW w:w="3182" w:type="dxa"/>
                </w:tcPr>
                <w:p w14:paraId="328A2A44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447F9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984378F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60546661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0E873C7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AE5949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BA3FDA5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2D46584B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C121C" w:rsidRPr="001447F9" w14:paraId="5D42670F" w14:textId="77777777" w:rsidTr="0008270E">
              <w:trPr>
                <w:trHeight w:val="233"/>
              </w:trPr>
              <w:tc>
                <w:tcPr>
                  <w:tcW w:w="3182" w:type="dxa"/>
                </w:tcPr>
                <w:p w14:paraId="2590BD27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447F9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3CB558E9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1420B106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533E681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1ECCF5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FA9DAFF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2435C8D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C121C" w:rsidRPr="001447F9" w14:paraId="6053157C" w14:textId="77777777" w:rsidTr="0008270E">
              <w:trPr>
                <w:trHeight w:val="183"/>
              </w:trPr>
              <w:tc>
                <w:tcPr>
                  <w:tcW w:w="3182" w:type="dxa"/>
                </w:tcPr>
                <w:p w14:paraId="5778A27C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447F9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49FE4870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3B2DBEEA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6501E2C2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14651ED2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065C18D0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</w:t>
                  </w:r>
                </w:p>
              </w:tc>
              <w:tc>
                <w:tcPr>
                  <w:tcW w:w="1294" w:type="dxa"/>
                </w:tcPr>
                <w:p w14:paraId="163091B9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</w:t>
                  </w:r>
                </w:p>
              </w:tc>
            </w:tr>
            <w:tr w:rsidR="00EC121C" w:rsidRPr="001447F9" w14:paraId="32E491C9" w14:textId="77777777" w:rsidTr="0008270E">
              <w:trPr>
                <w:trHeight w:val="287"/>
              </w:trPr>
              <w:tc>
                <w:tcPr>
                  <w:tcW w:w="3182" w:type="dxa"/>
                </w:tcPr>
                <w:p w14:paraId="6E6C277C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447F9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4633C066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A68E8BD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5B572C7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0D010726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B7C01E3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F614D6F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C121C" w:rsidRPr="001447F9" w14:paraId="5ECCCA9B" w14:textId="77777777" w:rsidTr="0008270E">
              <w:trPr>
                <w:trHeight w:val="105"/>
              </w:trPr>
              <w:tc>
                <w:tcPr>
                  <w:tcW w:w="3182" w:type="dxa"/>
                </w:tcPr>
                <w:p w14:paraId="05B9AC88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447F9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3F1C8F16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5AA02E1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63D3AF2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60B1B27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31D545A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739C87A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C121C" w:rsidRPr="001447F9" w14:paraId="713D25FA" w14:textId="77777777" w:rsidTr="0008270E">
              <w:trPr>
                <w:trHeight w:val="70"/>
              </w:trPr>
              <w:tc>
                <w:tcPr>
                  <w:tcW w:w="3182" w:type="dxa"/>
                </w:tcPr>
                <w:p w14:paraId="718597CA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447F9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2D1D0769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DB217B1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443C541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6F3344A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B29E760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19E4EAD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C121C" w:rsidRPr="001447F9" w14:paraId="42071E5A" w14:textId="77777777" w:rsidTr="0008270E">
              <w:trPr>
                <w:trHeight w:val="233"/>
              </w:trPr>
              <w:tc>
                <w:tcPr>
                  <w:tcW w:w="3182" w:type="dxa"/>
                </w:tcPr>
                <w:p w14:paraId="51E6CD92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447F9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1E694DA8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8D4E3EC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A38AFEC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BC1CCBF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4D89753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7432201E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C121C" w:rsidRPr="001447F9" w14:paraId="443BF6B9" w14:textId="77777777" w:rsidTr="0008270E">
              <w:trPr>
                <w:trHeight w:val="232"/>
              </w:trPr>
              <w:tc>
                <w:tcPr>
                  <w:tcW w:w="3182" w:type="dxa"/>
                </w:tcPr>
                <w:p w14:paraId="26243B7D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447F9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570AE740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8566EF8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06EC0F71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9191262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1E2F326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A96BF76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C121C" w:rsidRPr="001447F9" w14:paraId="40DFAD8A" w14:textId="77777777" w:rsidTr="0008270E">
              <w:trPr>
                <w:trHeight w:val="232"/>
              </w:trPr>
              <w:tc>
                <w:tcPr>
                  <w:tcW w:w="3182" w:type="dxa"/>
                </w:tcPr>
                <w:p w14:paraId="4B74DD6A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447F9">
                    <w:rPr>
                      <w:rFonts w:hint="cs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5D5F0CEA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7F4BF2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08913BB7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6AC82D1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32373A0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217A9F3" w14:textId="77777777" w:rsidR="00EC121C" w:rsidRPr="001447F9" w:rsidRDefault="00EC121C" w:rsidP="00EC121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60114DF0" w14:textId="77777777" w:rsidR="00EC121C" w:rsidRPr="001447F9" w:rsidRDefault="00EC121C" w:rsidP="00EC121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12E7E2FB" w14:textId="77777777" w:rsidR="00EC121C" w:rsidRPr="001447F9" w:rsidRDefault="00EC121C" w:rsidP="00EC121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1447F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ผลการดำเนินการ</w:t>
            </w:r>
          </w:p>
          <w:p w14:paraId="64FB7526" w14:textId="77777777" w:rsidR="00EC121C" w:rsidRPr="001447F9" w:rsidRDefault="00EC121C" w:rsidP="00EC121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1. </w:t>
            </w: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TableGrid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EC121C" w:rsidRPr="001447F9" w14:paraId="342FD860" w14:textId="77777777" w:rsidTr="0008270E">
              <w:tc>
                <w:tcPr>
                  <w:tcW w:w="1084" w:type="dxa"/>
                </w:tcPr>
                <w:p w14:paraId="1DCA14F7" w14:textId="77777777" w:rsidR="00EC121C" w:rsidRPr="001447F9" w:rsidRDefault="00EC121C" w:rsidP="00EC121C">
                  <w:pPr>
                    <w:rPr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</w:pPr>
                  <w:r w:rsidRPr="001447F9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6C92F941" w14:textId="77777777" w:rsidR="00EC121C" w:rsidRPr="001447F9" w:rsidRDefault="00EC121C" w:rsidP="00EC121C">
                  <w:pPr>
                    <w:rPr>
                      <w:b w:val="0"/>
                      <w:bCs w:val="0"/>
                      <w:color w:val="FF0000"/>
                      <w:sz w:val="28"/>
                      <w:szCs w:val="28"/>
                    </w:rPr>
                  </w:pPr>
                  <w:r w:rsidRPr="001447F9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ชื่อหมู่บ้าน</w:t>
                  </w:r>
                  <w:r w:rsidRPr="001447F9">
                    <w:rPr>
                      <w:b w:val="0"/>
                      <w:bCs w:val="0"/>
                      <w:color w:val="FF0000"/>
                      <w:sz w:val="28"/>
                      <w:szCs w:val="28"/>
                    </w:rPr>
                    <w:t>/</w:t>
                  </w:r>
                  <w:r w:rsidRPr="001447F9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ชุมชน</w:t>
                  </w:r>
                </w:p>
                <w:p w14:paraId="5D713549" w14:textId="77777777" w:rsidR="00EC121C" w:rsidRPr="001447F9" w:rsidRDefault="00EC121C" w:rsidP="00EC121C">
                  <w:pPr>
                    <w:rPr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</w:pPr>
                  <w:r w:rsidRPr="001447F9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5B162954" w14:textId="77777777" w:rsidR="00EC121C" w:rsidRPr="001447F9" w:rsidRDefault="00EC121C" w:rsidP="00EC121C">
                  <w:pPr>
                    <w:rPr>
                      <w:b w:val="0"/>
                      <w:bCs w:val="0"/>
                      <w:color w:val="FF0000"/>
                      <w:sz w:val="28"/>
                      <w:szCs w:val="28"/>
                    </w:rPr>
                  </w:pPr>
                  <w:r w:rsidRPr="001447F9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7C3C665C" w14:textId="77777777" w:rsidR="00EC121C" w:rsidRPr="001447F9" w:rsidRDefault="00EC121C" w:rsidP="00EC121C">
                  <w:pPr>
                    <w:rPr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</w:pPr>
                  <w:r w:rsidRPr="001447F9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รายละเอียด</w:t>
                  </w:r>
                  <w:r w:rsidRPr="001447F9">
                    <w:rPr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ข้อมูลตำบล</w:t>
                  </w:r>
                  <w:r w:rsidRPr="001447F9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ที่</w:t>
                  </w:r>
                  <w:r w:rsidRPr="001447F9">
                    <w:rPr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EC121C" w:rsidRPr="001447F9" w14:paraId="5962686F" w14:textId="77777777" w:rsidTr="0008270E">
              <w:tc>
                <w:tcPr>
                  <w:tcW w:w="1084" w:type="dxa"/>
                </w:tcPr>
                <w:p w14:paraId="2A8CA595" w14:textId="77777777" w:rsidR="00EC121C" w:rsidRPr="001447F9" w:rsidRDefault="00EC121C" w:rsidP="00EC121C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70B8FC46" w14:textId="77777777" w:rsidR="00EC121C" w:rsidRPr="00E761AE" w:rsidRDefault="00EC121C" w:rsidP="00EC121C">
                  <w:pPr>
                    <w:jc w:val="thaiDistribute"/>
                    <w:rPr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</w:pPr>
                  <w:r w:rsidRPr="00E761AE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ตำบลคลองเจ็ด อำเภอคลองหลวง</w:t>
                  </w:r>
                </w:p>
              </w:tc>
              <w:tc>
                <w:tcPr>
                  <w:tcW w:w="2552" w:type="dxa"/>
                </w:tcPr>
                <w:p w14:paraId="03B2FDA6" w14:textId="77777777" w:rsidR="00EC121C" w:rsidRPr="00E761AE" w:rsidRDefault="00EC121C" w:rsidP="00EC121C">
                  <w:pPr>
                    <w:jc w:val="thaiDistribute"/>
                    <w:rPr>
                      <w:b w:val="0"/>
                      <w:bCs w:val="0"/>
                      <w:color w:val="FF0000"/>
                      <w:sz w:val="28"/>
                      <w:szCs w:val="28"/>
                    </w:rPr>
                  </w:pPr>
                  <w:r w:rsidRPr="00E761AE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จัดทำฐานข้อมูลชุมชน</w:t>
                  </w:r>
                </w:p>
              </w:tc>
              <w:tc>
                <w:tcPr>
                  <w:tcW w:w="3260" w:type="dxa"/>
                </w:tcPr>
                <w:p w14:paraId="04B9724B" w14:textId="77777777" w:rsidR="00EC121C" w:rsidRPr="00E761AE" w:rsidRDefault="00EC121C" w:rsidP="00EC121C">
                  <w:pPr>
                    <w:jc w:val="thaiDistribute"/>
                    <w:rPr>
                      <w:b w:val="0"/>
                      <w:bCs w:val="0"/>
                      <w:color w:val="FF0000"/>
                      <w:sz w:val="28"/>
                      <w:szCs w:val="28"/>
                    </w:rPr>
                  </w:pPr>
                  <w:r w:rsidRPr="00E761AE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อยู่ในระหว่างดำเนินการวิเคราะห์ข้อมูลพื้นที่</w:t>
                  </w:r>
                </w:p>
              </w:tc>
            </w:tr>
            <w:tr w:rsidR="00EC121C" w:rsidRPr="001447F9" w14:paraId="3BE1A227" w14:textId="77777777" w:rsidTr="0008270E">
              <w:tc>
                <w:tcPr>
                  <w:tcW w:w="1084" w:type="dxa"/>
                </w:tcPr>
                <w:p w14:paraId="2F4D4537" w14:textId="77777777" w:rsidR="00EC121C" w:rsidRPr="001447F9" w:rsidRDefault="00EC121C" w:rsidP="00EC121C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42650F1F" w14:textId="77777777" w:rsidR="00EC121C" w:rsidRPr="001447F9" w:rsidRDefault="00EC121C" w:rsidP="00EC121C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A01DE52" w14:textId="77777777" w:rsidR="00EC121C" w:rsidRPr="001447F9" w:rsidRDefault="00EC121C" w:rsidP="00EC121C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4BAC342" w14:textId="77777777" w:rsidR="00EC121C" w:rsidRPr="001447F9" w:rsidRDefault="00EC121C" w:rsidP="00EC121C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5A1690A7" w14:textId="77777777" w:rsidR="00EC121C" w:rsidRPr="001447F9" w:rsidRDefault="00EC121C" w:rsidP="00EC121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2EB83262" w14:textId="77777777" w:rsidR="00EC121C" w:rsidRPr="001447F9" w:rsidRDefault="00EC121C" w:rsidP="00EC121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1447F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2. </w:t>
            </w: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TableGrid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EC121C" w:rsidRPr="001447F9" w14:paraId="3C8A5465" w14:textId="77777777" w:rsidTr="0008270E">
              <w:tc>
                <w:tcPr>
                  <w:tcW w:w="1084" w:type="dxa"/>
                </w:tcPr>
                <w:p w14:paraId="6B7199AA" w14:textId="77777777" w:rsidR="00EC121C" w:rsidRPr="001447F9" w:rsidRDefault="00EC121C" w:rsidP="00EC121C">
                  <w:pPr>
                    <w:rPr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</w:pPr>
                  <w:r w:rsidRPr="001447F9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0020F437" w14:textId="77777777" w:rsidR="00EC121C" w:rsidRPr="001447F9" w:rsidRDefault="00EC121C" w:rsidP="00EC121C">
                  <w:pPr>
                    <w:rPr>
                      <w:b w:val="0"/>
                      <w:bCs w:val="0"/>
                      <w:color w:val="FF0000"/>
                      <w:sz w:val="28"/>
                      <w:szCs w:val="28"/>
                    </w:rPr>
                  </w:pPr>
                  <w:r w:rsidRPr="001447F9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ชื่อหมู่บ้าน</w:t>
                  </w:r>
                  <w:r w:rsidRPr="001447F9">
                    <w:rPr>
                      <w:b w:val="0"/>
                      <w:bCs w:val="0"/>
                      <w:color w:val="FF0000"/>
                      <w:sz w:val="28"/>
                      <w:szCs w:val="28"/>
                    </w:rPr>
                    <w:t>/</w:t>
                  </w:r>
                  <w:r w:rsidRPr="001447F9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ชุมชน</w:t>
                  </w:r>
                </w:p>
                <w:p w14:paraId="0B45935D" w14:textId="77777777" w:rsidR="00EC121C" w:rsidRPr="001447F9" w:rsidRDefault="00EC121C" w:rsidP="00EC121C">
                  <w:pPr>
                    <w:rPr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</w:pPr>
                  <w:r w:rsidRPr="001447F9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0732FECD" w14:textId="77777777" w:rsidR="00EC121C" w:rsidRPr="001447F9" w:rsidRDefault="00EC121C" w:rsidP="00EC121C">
                  <w:pPr>
                    <w:rPr>
                      <w:b w:val="0"/>
                      <w:bCs w:val="0"/>
                      <w:color w:val="FF0000"/>
                      <w:sz w:val="28"/>
                      <w:szCs w:val="28"/>
                    </w:rPr>
                  </w:pPr>
                  <w:r w:rsidRPr="001447F9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4A65C02D" w14:textId="77777777" w:rsidR="00EC121C" w:rsidRPr="001447F9" w:rsidRDefault="00EC121C" w:rsidP="00EC121C">
                  <w:pPr>
                    <w:rPr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</w:pPr>
                  <w:r w:rsidRPr="001447F9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รายละเอียด</w:t>
                  </w:r>
                  <w:r w:rsidRPr="001447F9">
                    <w:rPr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ข้อมูลตำบล</w:t>
                  </w:r>
                  <w:r w:rsidRPr="001447F9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ที่</w:t>
                  </w:r>
                  <w:r w:rsidRPr="001447F9">
                    <w:rPr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EC121C" w:rsidRPr="001447F9" w14:paraId="126DF93A" w14:textId="77777777" w:rsidTr="0008270E">
              <w:tc>
                <w:tcPr>
                  <w:tcW w:w="1084" w:type="dxa"/>
                </w:tcPr>
                <w:p w14:paraId="21D475AB" w14:textId="77777777" w:rsidR="00EC121C" w:rsidRPr="001447F9" w:rsidRDefault="00EC121C" w:rsidP="00EC121C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6EB2E5D4" w14:textId="77777777" w:rsidR="00EC121C" w:rsidRPr="00710163" w:rsidRDefault="00EC121C" w:rsidP="00EC121C">
                  <w:pPr>
                    <w:jc w:val="thaiDistribute"/>
                    <w:rPr>
                      <w:b w:val="0"/>
                      <w:bCs w:val="0"/>
                      <w:color w:val="FF0000"/>
                      <w:sz w:val="28"/>
                      <w:szCs w:val="28"/>
                    </w:rPr>
                  </w:pPr>
                  <w:r w:rsidRPr="00710163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ตำบลทุ่งมหาเจริญ อำวังน้ำเย็น</w:t>
                  </w:r>
                </w:p>
              </w:tc>
              <w:tc>
                <w:tcPr>
                  <w:tcW w:w="2552" w:type="dxa"/>
                </w:tcPr>
                <w:p w14:paraId="6027E582" w14:textId="77777777" w:rsidR="00EC121C" w:rsidRPr="005C2E4D" w:rsidRDefault="00EC121C" w:rsidP="00EC121C">
                  <w:pPr>
                    <w:jc w:val="thaiDistribute"/>
                    <w:rPr>
                      <w:b w:val="0"/>
                      <w:bCs w:val="0"/>
                      <w:color w:val="FF0000"/>
                      <w:sz w:val="28"/>
                      <w:szCs w:val="28"/>
                    </w:rPr>
                  </w:pPr>
                  <w:r w:rsidRPr="005C2E4D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จัดทำแผนดำเนินการโครงการผักปลอดสารผิด(</w:t>
                  </w:r>
                  <w:r w:rsidRPr="005C2E4D">
                    <w:rPr>
                      <w:b w:val="0"/>
                      <w:bCs w:val="0"/>
                      <w:color w:val="FF0000"/>
                      <w:sz w:val="28"/>
                      <w:szCs w:val="28"/>
                    </w:rPr>
                    <w:t>GAP</w:t>
                  </w:r>
                  <w:r w:rsidRPr="005C2E4D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3260" w:type="dxa"/>
                </w:tcPr>
                <w:p w14:paraId="759C90DA" w14:textId="77777777" w:rsidR="00EC121C" w:rsidRPr="005C2E4D" w:rsidRDefault="00EC121C" w:rsidP="00EC121C">
                  <w:pPr>
                    <w:jc w:val="thaiDistribute"/>
                    <w:rPr>
                      <w:b w:val="0"/>
                      <w:bCs w:val="0"/>
                      <w:color w:val="FF0000"/>
                      <w:sz w:val="28"/>
                      <w:szCs w:val="28"/>
                    </w:rPr>
                  </w:pPr>
                  <w:r w:rsidRPr="005C2E4D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ดำเนินการโครงการต่อยอดเพื่อพัฒนาชุมชน</w:t>
                  </w: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ปลูก</w:t>
                  </w:r>
                  <w:r w:rsidRPr="005C2E4D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ผักปลอดสารผิด</w:t>
                  </w:r>
                </w:p>
              </w:tc>
            </w:tr>
            <w:tr w:rsidR="00EC121C" w:rsidRPr="001447F9" w14:paraId="50CCB4E3" w14:textId="77777777" w:rsidTr="0008270E">
              <w:tc>
                <w:tcPr>
                  <w:tcW w:w="1084" w:type="dxa"/>
                </w:tcPr>
                <w:p w14:paraId="1FFEEDA1" w14:textId="77777777" w:rsidR="00EC121C" w:rsidRPr="001447F9" w:rsidRDefault="00EC121C" w:rsidP="00EC121C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1EEFEE0" w14:textId="77777777" w:rsidR="00EC121C" w:rsidRPr="001447F9" w:rsidRDefault="00EC121C" w:rsidP="00EC121C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18B4927F" w14:textId="77777777" w:rsidR="00EC121C" w:rsidRPr="001447F9" w:rsidRDefault="00EC121C" w:rsidP="00EC121C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6264D1AD" w14:textId="77777777" w:rsidR="00EC121C" w:rsidRPr="001447F9" w:rsidRDefault="00EC121C" w:rsidP="00EC121C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6EF9992" w14:textId="5844368A" w:rsidR="00EC121C" w:rsidRPr="002152F7" w:rsidRDefault="00EC121C" w:rsidP="00EC121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1447F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ข้อมูล ณ วันที่ ..........................</w:t>
            </w:r>
            <w:r w:rsidRPr="001447F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</w:tc>
      </w:tr>
      <w:tr w:rsidR="00EC121C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EC121C" w:rsidRPr="002152F7" w:rsidRDefault="00EC121C" w:rsidP="00EC121C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EC121C" w:rsidRPr="002152F7" w:rsidRDefault="00EC121C" w:rsidP="00EC121C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EC121C" w:rsidRPr="002152F7" w:rsidRDefault="00EC121C" w:rsidP="00EC121C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EC121C" w:rsidRPr="002152F7" w:rsidRDefault="00EC121C" w:rsidP="00EC121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EC121C" w:rsidRPr="00EC121C" w:rsidRDefault="00EC121C" w:rsidP="00EC121C">
            <w:pPr>
              <w:ind w:left="-115" w:right="-114"/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 w:rsidRPr="00EC121C"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5F244AC7" w:rsidR="00EC121C" w:rsidRPr="00EC121C" w:rsidRDefault="00EC121C" w:rsidP="00EC121C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C121C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2 </w:t>
            </w:r>
          </w:p>
          <w:p w14:paraId="29495F54" w14:textId="1DC460AD" w:rsidR="00EC121C" w:rsidRPr="002152F7" w:rsidRDefault="00EC121C" w:rsidP="00EC121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06D9" w14:textId="77777777" w:rsidR="00EC121C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B5642">
              <w:rPr>
                <w:rFonts w:eastAsia="Sarabun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AB5642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</w:t>
            </w:r>
            <w:r w:rsidRPr="00AB5642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2</w:t>
            </w:r>
          </w:p>
          <w:p w14:paraId="2B2B864E" w14:textId="77777777" w:rsidR="00EC121C" w:rsidRPr="009E638B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9E638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9E638B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9E638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FCC1F26" w14:textId="77777777" w:rsidR="00EC121C" w:rsidRPr="009E638B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9E638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      มีการลงนามความร่วมมือ</w:t>
            </w:r>
            <w:r w:rsidRPr="009E638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เครือข่ายชุมชนนักปฏิบัติเพื่อแลกเปลี่ยนเรียนรู้</w:t>
            </w:r>
            <w:r w:rsidRPr="009E638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กับชุมชน </w:t>
            </w:r>
            <w:r w:rsidRPr="009E638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เพื่อร่วมกันศึกษาและแก้ไขปัญหาของชุมชนท้องถิ่นที่เป็นพื้นที่</w:t>
            </w:r>
            <w:r w:rsidRPr="009E638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รับผิดชอบได้แก่ พื้นที่</w:t>
            </w:r>
            <w:r w:rsidRPr="009E638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ตำบลคลองเจ็ด อำเภอคลองหลวง</w:t>
            </w:r>
            <w:r w:rsidRPr="009E638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9E638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จังหวัดปทุมธานี</w:t>
            </w:r>
            <w:r w:rsidRPr="009E638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และพื้นที่</w:t>
            </w:r>
            <w:r w:rsidRPr="009E638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ตำบลทุ่งมหาเจริญ อำวังน้ำเย็น</w:t>
            </w:r>
            <w:r w:rsidRPr="009E638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9E638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จังหวัดสระแก้ว</w:t>
            </w:r>
          </w:p>
          <w:p w14:paraId="14D3D338" w14:textId="77777777" w:rsidR="00EC121C" w:rsidRPr="009E638B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9E638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 2 มีการดำเนินกิจกรรมร่วมกัน (อธิบายรายละเอียดการดำเนินการ)</w:t>
            </w:r>
          </w:p>
          <w:p w14:paraId="1D5AB9BA" w14:textId="77777777" w:rsidR="00EC121C" w:rsidRPr="009E638B" w:rsidRDefault="00EC121C" w:rsidP="00EC121C">
            <w:pPr>
              <w:pStyle w:val="ListParagraph"/>
              <w:numPr>
                <w:ilvl w:val="0"/>
                <w:numId w:val="1"/>
              </w:numPr>
              <w:ind w:right="-42"/>
              <w:jc w:val="thaiDistribute"/>
              <w:rPr>
                <w:rFonts w:eastAsia="TH SarabunPSK" w:cs="TH SarabunPSK"/>
                <w:b w:val="0"/>
                <w:bCs w:val="0"/>
                <w:color w:val="FF0000"/>
                <w:sz w:val="28"/>
                <w:szCs w:val="28"/>
              </w:rPr>
            </w:pPr>
            <w:r w:rsidRPr="009E638B">
              <w:rPr>
                <w:rFonts w:eastAsia="TH SarabunPSK" w:cs="TH SarabunPSK"/>
                <w:b w:val="0"/>
                <w:bCs w:val="0"/>
                <w:color w:val="FF0000"/>
                <w:sz w:val="28"/>
                <w:szCs w:val="28"/>
                <w:cs/>
              </w:rPr>
              <w:t>พื้นที่ตำบลคลองเจ็ด อำเภอคลองหลวง จังหวัดปทุมธานี</w:t>
            </w:r>
            <w:r w:rsidRPr="009E638B">
              <w:rPr>
                <w:rFonts w:eastAsia="TH SarabunPSK" w:cs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ได้ดำเนินการ</w:t>
            </w:r>
            <w:r w:rsidRPr="009E638B">
              <w:rPr>
                <w:rFonts w:eastAsia="TH SarabunPSK" w:cs="TH SarabunPSK"/>
                <w:b w:val="0"/>
                <w:bCs w:val="0"/>
                <w:color w:val="FF0000"/>
                <w:sz w:val="28"/>
                <w:szCs w:val="28"/>
                <w:cs/>
              </w:rPr>
              <w:t>จัดทำฐานข้อมูลชุมชน</w:t>
            </w:r>
            <w:r w:rsidRPr="009E638B">
              <w:rPr>
                <w:rFonts w:eastAsia="TH SarabunPSK" w:cs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และ</w:t>
            </w:r>
            <w:r w:rsidRPr="009E638B">
              <w:rPr>
                <w:rFonts w:eastAsia="TH SarabunPSK" w:cs="TH SarabunPSK"/>
                <w:b w:val="0"/>
                <w:bCs w:val="0"/>
                <w:color w:val="FF0000"/>
                <w:sz w:val="28"/>
                <w:szCs w:val="28"/>
                <w:cs/>
              </w:rPr>
              <w:t>อยู่ในระหว่างดำเนินการวิเคราะห์ข้อมูลพื้นที่</w:t>
            </w:r>
          </w:p>
          <w:p w14:paraId="3C93D8C1" w14:textId="77777777" w:rsidR="00EC121C" w:rsidRPr="009E638B" w:rsidRDefault="00EC121C" w:rsidP="00EC121C">
            <w:pPr>
              <w:pStyle w:val="ListParagraph"/>
              <w:numPr>
                <w:ilvl w:val="0"/>
                <w:numId w:val="1"/>
              </w:numPr>
              <w:ind w:right="-42"/>
              <w:jc w:val="thaiDistribute"/>
              <w:rPr>
                <w:rFonts w:eastAsia="TH SarabunPSK" w:cs="TH SarabunPSK"/>
                <w:b w:val="0"/>
                <w:bCs w:val="0"/>
                <w:color w:val="FF0000"/>
                <w:sz w:val="28"/>
                <w:szCs w:val="28"/>
              </w:rPr>
            </w:pPr>
            <w:r w:rsidRPr="009E638B">
              <w:rPr>
                <w:rFonts w:eastAsia="TH SarabunPSK" w:cs="TH SarabunPSK"/>
                <w:b w:val="0"/>
                <w:bCs w:val="0"/>
                <w:color w:val="FF0000"/>
                <w:sz w:val="28"/>
                <w:szCs w:val="28"/>
                <w:cs/>
              </w:rPr>
              <w:t>พื้นที่ตำบลทุ่งมหาเจริญ อำวังน้ำเย็น จังหวัดสระแก้ว</w:t>
            </w:r>
            <w:r w:rsidRPr="009E638B">
              <w:rPr>
                <w:rFonts w:eastAsia="TH SarabunPSK" w:cs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ได้</w:t>
            </w:r>
            <w:r w:rsidRPr="009E638B">
              <w:rPr>
                <w:rFonts w:eastAsia="TH SarabunPSK" w:cs="TH SarabunPSK"/>
                <w:b w:val="0"/>
                <w:bCs w:val="0"/>
                <w:color w:val="FF0000"/>
                <w:sz w:val="28"/>
                <w:szCs w:val="28"/>
                <w:cs/>
              </w:rPr>
              <w:t>จัดทำแผนดำเนินการโครงการผักปลอดสารผิด(</w:t>
            </w:r>
            <w:r w:rsidRPr="009E638B">
              <w:rPr>
                <w:rFonts w:eastAsia="TH SarabunPSK" w:cs="TH SarabunPSK"/>
                <w:b w:val="0"/>
                <w:bCs w:val="0"/>
                <w:color w:val="FF0000"/>
                <w:sz w:val="28"/>
                <w:szCs w:val="28"/>
              </w:rPr>
              <w:t>GAP)</w:t>
            </w:r>
            <w:r w:rsidRPr="009E638B">
              <w:rPr>
                <w:rFonts w:eastAsia="TH SarabunPSK" w:cs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เพื่อต่อยอดโครงการ</w:t>
            </w:r>
            <w:r w:rsidRPr="009E638B">
              <w:rPr>
                <w:rFonts w:eastAsia="TH SarabunPSK" w:cs="TH SarabunPSK"/>
                <w:b w:val="0"/>
                <w:bCs w:val="0"/>
                <w:color w:val="FF0000"/>
                <w:sz w:val="28"/>
                <w:szCs w:val="28"/>
                <w:cs/>
              </w:rPr>
              <w:t>พัฒนาชุมชนปลูกผักปลอดสารผิด</w:t>
            </w:r>
          </w:p>
          <w:p w14:paraId="0EEF4932" w14:textId="77777777" w:rsidR="00EC121C" w:rsidRPr="00844835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CD7B7EB" w14:textId="77777777" w:rsidR="00EC121C" w:rsidRPr="00844835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AB7610D" w14:textId="77777777" w:rsidR="00EC121C" w:rsidRPr="00844835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130FC7" w14:textId="77777777" w:rsidR="00EC121C" w:rsidRPr="00844835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E514041" w14:textId="77777777" w:rsidR="00EC121C" w:rsidRPr="00844835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5E1AB3EF" w:rsidR="00EC121C" w:rsidRPr="002152F7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340D22C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3.3.1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E125E5" w:rsidRDefault="002152F7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์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7A7AD9A1" w:rsidR="002152F7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2C094929" w:rsidR="002152F7" w:rsidRPr="00844835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318ED7D7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2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การพัฒนางานพันธกิจสัมพันธ์และถ่ายทอด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บูรณา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โครงการส่งเสริมให้นักศึกษามีการลงพื้นที่ดำเนินงานพันธกิจสัมพันธ์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จำนวนนักศึกษาที่ลงทะเบียนในรายวิชาศึกษาทั่วไปลงพื้นที่ดำเนินงานพันธกิจสัมพันธ์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62A3C8C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127F39C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9CD9FD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7777777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C121C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C121C" w:rsidRPr="009151A4" w:rsidRDefault="00EC121C" w:rsidP="00EC121C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C121C" w:rsidRPr="009151A4" w:rsidRDefault="00EC121C" w:rsidP="00EC121C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C121C" w:rsidRDefault="00EC121C" w:rsidP="00EC121C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C121C" w:rsidRPr="009151A4" w:rsidRDefault="00EC121C" w:rsidP="00EC121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C121C" w:rsidRPr="00EC121C" w:rsidRDefault="00EC121C" w:rsidP="00EC121C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C121C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</w:p>
          <w:p w14:paraId="7EBE9268" w14:textId="524F2B2F" w:rsidR="00EC121C" w:rsidRPr="00EC121C" w:rsidRDefault="00EC121C" w:rsidP="00EC121C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C121C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3</w:t>
            </w:r>
          </w:p>
          <w:p w14:paraId="28F86569" w14:textId="7669351D" w:rsidR="00EC121C" w:rsidRPr="009151A4" w:rsidRDefault="00EC121C" w:rsidP="00EC121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4D73" w14:textId="77777777" w:rsidR="00EC121C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อยู่ที่ระดับ………………………</w:t>
            </w:r>
          </w:p>
          <w:p w14:paraId="6FA2EEE2" w14:textId="77777777" w:rsidR="00EC121C" w:rsidRPr="00235168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516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ตามจุดเน้นและอัตลักษณ์ของมหาวิทยาลัย(อธิบายรายละเอียดการดำเนินการ)</w:t>
            </w:r>
          </w:p>
          <w:p w14:paraId="58B33BD7" w14:textId="77777777" w:rsidR="00EC121C" w:rsidRPr="00AB5642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      </w:t>
            </w:r>
            <w:r w:rsidRPr="00AB5642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มีการกำหนดนโยบายและทิศทางการส่งเสริมศิลปวัฒนธรรม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และความเป็นไทย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เพื่อจัดกิจกรรมพัฒนานักศึกษาด้านการสืบสานและทำนุบำรุง</w:t>
            </w:r>
            <w:r w:rsidRPr="00AB5642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ศิลปวัฒนธรรม</w:t>
            </w:r>
          </w:p>
          <w:p w14:paraId="6F0B8058" w14:textId="77777777" w:rsidR="00EC121C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2747969F" w14:textId="77777777" w:rsidR="00EC121C" w:rsidRPr="00235168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516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รวมทั้งจัดสรรงบประมาณเพื่อให้สามารถดำเนินการได้ตามแผน(อธิบายรายละเอียดการดำเนินการ)</w:t>
            </w:r>
          </w:p>
          <w:p w14:paraId="006A25E9" w14:textId="77777777" w:rsidR="00EC121C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   มีการ</w:t>
            </w:r>
            <w:r w:rsidRPr="00AB5642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และดำเนินการจัดทำโครงการตามแผนที่กำหนด </w:t>
            </w:r>
            <w:r w:rsidRPr="00AB5642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เพื่อให้สามารถดำเนิน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โครงการเป็นไปด้วยความเรียบร้อย</w:t>
            </w:r>
          </w:p>
          <w:p w14:paraId="033D0E73" w14:textId="77777777" w:rsidR="00EC121C" w:rsidRPr="002A71D7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A71D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(อธิบายรายละเอียดการดำเนินการ)</w:t>
            </w:r>
          </w:p>
          <w:p w14:paraId="58600B19" w14:textId="77777777" w:rsidR="00EC121C" w:rsidRPr="00844835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     มีการกำกับติดตามการดำเนินโครงการด้านศิลปวัฒนธรรมและความเป็นไทย โดยการจัดทำแบบประเมินความสำเร็จของโครงการตามวัตถุประสงค์ </w:t>
            </w:r>
          </w:p>
          <w:p w14:paraId="7796A1B2" w14:textId="77777777" w:rsidR="00EC121C" w:rsidRPr="00844835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ศิลปวัฒนธรรมของประเทศไทยตามอัตลักษณ์ของชุมชน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8C61290" w14:textId="77777777" w:rsidR="00EC121C" w:rsidRPr="00844835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3038B" w14:textId="77777777" w:rsidR="00EC121C" w:rsidRPr="00844835" w:rsidRDefault="00EC121C" w:rsidP="00EC121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016BAE30" w:rsidR="00EC121C" w:rsidRPr="009151A4" w:rsidRDefault="00EC121C" w:rsidP="00EC121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279E783A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5BDF1C8E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4ACAA6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EAF8B3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ตามศักยภาพและอัตลักษณ์ของประเภทสถาบัน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ตามจุดเน้นและอัตลักษณ์ของมหาวิทยาลัย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ศิลปวัฒนธรรมของประเทศไทยตามอัตลักษณ์ของชุมชน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1D33318D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0897E637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070BB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12C8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CD8D244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9151A4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9151A4" w:rsidRDefault="00E912C8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912C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3C7E90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0D14B5" w14:textId="37E7D44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6E04F0E" w14:textId="77777777" w:rsidR="00E912C8" w:rsidRPr="001070BB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4EFA0A" w14:textId="77777777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5502D97" w14:textId="3241AC5B" w:rsidR="00E912C8" w:rsidRPr="009151A4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</w:t>
            </w:r>
          </w:p>
          <w:p w14:paraId="0D2C9F3F" w14:textId="6D776E0E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15A2F123" w:rsidR="009151A4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50F7B3EE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49C6876F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4F443595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36BA2FD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1BA207FD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20F066C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D28DDEE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Improvement Plan) 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6FDA9C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9151A4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C121C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EC121C" w:rsidRPr="009151A4" w:rsidRDefault="00EC121C" w:rsidP="00EC121C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bookmarkStart w:id="3" w:name="_GoBack" w:colFirst="4" w:colLast="4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EC121C" w:rsidRPr="009151A4" w:rsidRDefault="00EC121C" w:rsidP="00EC121C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EC121C" w:rsidRPr="009151A4" w:rsidRDefault="00EC121C" w:rsidP="00EC121C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EC121C" w:rsidRPr="009151A4" w:rsidRDefault="00EC121C" w:rsidP="00EC121C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EC121C" w:rsidRDefault="00EC121C" w:rsidP="00EC121C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61E7626" w:rsidR="00EC121C" w:rsidRPr="009151A4" w:rsidRDefault="00EC121C" w:rsidP="00EC121C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A80D" w14:textId="77777777" w:rsidR="00EC121C" w:rsidRPr="00EC121C" w:rsidRDefault="00EC121C" w:rsidP="00EC121C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C121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จำนวนงบประมาณทั้งสิ้นจำนวน    1</w:t>
            </w:r>
            <w:r w:rsidRPr="00EC121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,</w:t>
            </w:r>
            <w:r w:rsidRPr="00EC121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455</w:t>
            </w:r>
            <w:r w:rsidRPr="00EC121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,</w:t>
            </w:r>
            <w:r w:rsidRPr="00EC121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200  บาท</w:t>
            </w:r>
            <w:r w:rsidRPr="00EC121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EC121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ตั้งเบิกจำนวน 127</w:t>
            </w:r>
            <w:r w:rsidRPr="00EC121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,</w:t>
            </w:r>
            <w:r w:rsidRPr="00EC121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295.50  บาท คิดเป็นร้อยละ 8.75 </w:t>
            </w:r>
            <w:r w:rsidRPr="00EC121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EC121C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Pr="00EC121C">
              <w:rPr>
                <w:rFonts w:eastAsia="TH SarabunPSK" w:hint="cs"/>
                <w:color w:val="FF0000"/>
                <w:sz w:val="28"/>
                <w:szCs w:val="28"/>
                <w:cs/>
              </w:rPr>
              <w:t>18 มกราคม 2564</w:t>
            </w:r>
          </w:p>
          <w:p w14:paraId="01ABD3AB" w14:textId="77777777" w:rsidR="00EC121C" w:rsidRPr="00EC121C" w:rsidRDefault="00EC121C" w:rsidP="00EC121C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C121C" w:rsidRPr="00EC121C" w14:paraId="6FF19E27" w14:textId="77777777" w:rsidTr="0008270E">
              <w:tc>
                <w:tcPr>
                  <w:tcW w:w="2268" w:type="dxa"/>
                  <w:vAlign w:val="center"/>
                </w:tcPr>
                <w:p w14:paraId="37E4028A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EC121C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142438C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EC121C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2626336B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EC121C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228F5661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EC121C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C121C" w:rsidRPr="00EC121C" w14:paraId="7DA8E371" w14:textId="77777777" w:rsidTr="0008270E">
              <w:tc>
                <w:tcPr>
                  <w:tcW w:w="2268" w:type="dxa"/>
                  <w:vAlign w:val="center"/>
                </w:tcPr>
                <w:p w14:paraId="234D32FC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EC121C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63A9A7EA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EC121C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436</w:t>
                  </w:r>
                  <w:r w:rsidRPr="00EC121C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,</w:t>
                  </w:r>
                  <w:r w:rsidRPr="00EC121C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560</w:t>
                  </w:r>
                </w:p>
              </w:tc>
              <w:tc>
                <w:tcPr>
                  <w:tcW w:w="1559" w:type="dxa"/>
                </w:tcPr>
                <w:p w14:paraId="7E9BA8F3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EC121C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127</w:t>
                  </w:r>
                  <w:r w:rsidRPr="00EC121C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,</w:t>
                  </w:r>
                  <w:r w:rsidRPr="00EC121C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295.50</w:t>
                  </w:r>
                </w:p>
              </w:tc>
              <w:tc>
                <w:tcPr>
                  <w:tcW w:w="873" w:type="dxa"/>
                </w:tcPr>
                <w:p w14:paraId="34AD7687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EC121C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29.16</w:t>
                  </w:r>
                </w:p>
              </w:tc>
            </w:tr>
            <w:tr w:rsidR="00EC121C" w:rsidRPr="00EC121C" w14:paraId="7A74F180" w14:textId="77777777" w:rsidTr="0008270E">
              <w:tc>
                <w:tcPr>
                  <w:tcW w:w="2268" w:type="dxa"/>
                  <w:vAlign w:val="center"/>
                </w:tcPr>
                <w:p w14:paraId="532A746A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EC121C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1EC0E4D8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6918003E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8CE3931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C121C" w:rsidRPr="00EC121C" w14:paraId="6FEC8A5C" w14:textId="77777777" w:rsidTr="0008270E">
              <w:tc>
                <w:tcPr>
                  <w:tcW w:w="2268" w:type="dxa"/>
                  <w:vAlign w:val="center"/>
                </w:tcPr>
                <w:p w14:paraId="7361C07F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EC121C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0822B1DD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60E2A27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873DCDA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C121C" w:rsidRPr="00EC121C" w14:paraId="52658CB6" w14:textId="77777777" w:rsidTr="0008270E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6084CC3A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EC121C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619BC0FC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F475D50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FD390C4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C121C" w:rsidRPr="00EC121C" w14:paraId="020CB69C" w14:textId="77777777" w:rsidTr="0008270E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CD41655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EC121C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F698A28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EE5DAC0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305D6C3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C121C" w:rsidRPr="00EC121C" w14:paraId="042AF716" w14:textId="77777777" w:rsidTr="0008270E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C621E4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0EE98C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224F71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4E62A4" w14:textId="77777777" w:rsidR="00EC121C" w:rsidRPr="00EC121C" w:rsidRDefault="00EC121C" w:rsidP="00EC1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EC121C" w:rsidRPr="00EC121C" w:rsidRDefault="00EC121C" w:rsidP="00EC121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bookmarkEnd w:id="3"/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9151A4" w:rsidRDefault="00ED06A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5ED5B0B0" w:rsidR="009151A4" w:rsidRPr="009151A4" w:rsidRDefault="00E125E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ED06A6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 xml:space="preserve">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โครงการสื่อสารองค์กรและการสื่อสารการตลาดแบบบูรณาการ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ระดับความสำเร็จของการดำเนินการสื่อสารองค์การและการสื่อสารการตลาดแบบบูรณาการ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มีการจัดทำแผนสื่อสารองค์การและการสื่อสารการตลาดแบบบูรณาการ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มีการประเมินผลความสำเร็จของแผนสื่อสารองค์การและการสื่อสารการตลาดแบบบูรณาการ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A0A"/>
    <w:multiLevelType w:val="hybridMultilevel"/>
    <w:tmpl w:val="007C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35D5C"/>
    <w:rsid w:val="00046E6D"/>
    <w:rsid w:val="00053925"/>
    <w:rsid w:val="00075BBA"/>
    <w:rsid w:val="00081CDC"/>
    <w:rsid w:val="000B4F58"/>
    <w:rsid w:val="001070BB"/>
    <w:rsid w:val="00183424"/>
    <w:rsid w:val="001C0B3A"/>
    <w:rsid w:val="001E082F"/>
    <w:rsid w:val="00206A85"/>
    <w:rsid w:val="002152F7"/>
    <w:rsid w:val="00255679"/>
    <w:rsid w:val="002E5A7F"/>
    <w:rsid w:val="002F2271"/>
    <w:rsid w:val="00301086"/>
    <w:rsid w:val="00314A27"/>
    <w:rsid w:val="00354091"/>
    <w:rsid w:val="003D5373"/>
    <w:rsid w:val="004364AC"/>
    <w:rsid w:val="004423AE"/>
    <w:rsid w:val="00581D2A"/>
    <w:rsid w:val="005B34A5"/>
    <w:rsid w:val="005E4E6A"/>
    <w:rsid w:val="006732B8"/>
    <w:rsid w:val="006C2A1C"/>
    <w:rsid w:val="007015D1"/>
    <w:rsid w:val="00726C53"/>
    <w:rsid w:val="007B3A77"/>
    <w:rsid w:val="00844835"/>
    <w:rsid w:val="0087641A"/>
    <w:rsid w:val="00893C97"/>
    <w:rsid w:val="008D4166"/>
    <w:rsid w:val="009151A4"/>
    <w:rsid w:val="009A2AE4"/>
    <w:rsid w:val="009E4000"/>
    <w:rsid w:val="00A225B7"/>
    <w:rsid w:val="00A6178E"/>
    <w:rsid w:val="00A76A24"/>
    <w:rsid w:val="00AB49EE"/>
    <w:rsid w:val="00B0457E"/>
    <w:rsid w:val="00B05C02"/>
    <w:rsid w:val="00C16F4A"/>
    <w:rsid w:val="00C17AF4"/>
    <w:rsid w:val="00C56AF6"/>
    <w:rsid w:val="00D07B46"/>
    <w:rsid w:val="00D6363F"/>
    <w:rsid w:val="00DD0B34"/>
    <w:rsid w:val="00DE1EDE"/>
    <w:rsid w:val="00E125E5"/>
    <w:rsid w:val="00E70343"/>
    <w:rsid w:val="00E77076"/>
    <w:rsid w:val="00E812CD"/>
    <w:rsid w:val="00E842E7"/>
    <w:rsid w:val="00E912C8"/>
    <w:rsid w:val="00EC121C"/>
    <w:rsid w:val="00ED06A6"/>
    <w:rsid w:val="00EF3F1D"/>
    <w:rsid w:val="00EF7B77"/>
    <w:rsid w:val="00F94C73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21C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AA42-5DF3-4EDE-91F0-0532D809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14312</Words>
  <Characters>81585</Characters>
  <Application>Microsoft Office Word</Application>
  <DocSecurity>0</DocSecurity>
  <Lines>679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2</cp:revision>
  <dcterms:created xsi:type="dcterms:W3CDTF">2021-01-27T07:13:00Z</dcterms:created>
  <dcterms:modified xsi:type="dcterms:W3CDTF">2021-01-27T07:13:00Z</dcterms:modified>
</cp:coreProperties>
</file>